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African Americans and Women: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African Americans Post Civil War: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Reconstruction Amendments: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mendment: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mendment: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mendment: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South: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Plessy v. Ferguson (1896)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Legalize segregation “__________________________”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 was not 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Jim Crow Laws/Black Codes: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Legal “________________________” Segregation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Sharecropping: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Result: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Great Migration (1890-1960):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African Americans move from the ______________ to the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Push Factors: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Pull factors: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“____________ ______________’ Segregation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Early African American Leaders: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Booker T. Washington: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Institution: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Theory of Progress: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W.E.B. Dubois: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Institution: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Theory of Progress: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Women’s Rights Movement: (1848-1920)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Feminism: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First Wave of Feminism: Years______________ to 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Seneca Falls Convention:  ______________ and 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Grievances of Women: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Key to addressing these issues: 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Suffrage Movement (1900s)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Women took an active role in the ______________era.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Examples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Amendment: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bans the manufacture, sale and transportation of 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Amendment: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720" w:hanging="72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